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9738" w14:textId="37EBD213" w:rsidR="002D6C29" w:rsidRDefault="002D6C29" w:rsidP="009773E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en-GB"/>
          <w14:ligatures w14:val="none"/>
        </w:rPr>
      </w:pPr>
      <w:r w:rsidRPr="002D6C29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en-GB"/>
          <w14:ligatures w14:val="none"/>
        </w:rPr>
        <w:t xml:space="preserve">INVITATION: </w:t>
      </w:r>
      <w:r w:rsidR="009773EB" w:rsidRPr="002D6C29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en-GB"/>
          <w14:ligatures w14:val="none"/>
        </w:rPr>
        <w:t xml:space="preserve">A new Fuel Poverty Strategy and </w:t>
      </w:r>
      <w:r w:rsidR="002930B5" w:rsidRPr="002D6C29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en-GB"/>
          <w14:ligatures w14:val="none"/>
        </w:rPr>
        <w:t xml:space="preserve">Fuel Poverty </w:t>
      </w:r>
      <w:r w:rsidR="002B0337" w:rsidRPr="002D6C29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en-GB"/>
          <w14:ligatures w14:val="none"/>
        </w:rPr>
        <w:t>Scheme</w:t>
      </w:r>
    </w:p>
    <w:p w14:paraId="3B40C03D" w14:textId="717FD6AE" w:rsidR="00216535" w:rsidRPr="00AB3234" w:rsidRDefault="002B0337" w:rsidP="009773E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28"/>
          <w:szCs w:val="28"/>
          <w:u w:val="single"/>
          <w:lang w:eastAsia="en-GB"/>
          <w14:ligatures w14:val="none"/>
        </w:rPr>
      </w:pPr>
      <w:r w:rsidRPr="00AB3234">
        <w:rPr>
          <w:rFonts w:eastAsia="Times New Roman" w:cstheme="minorHAnsi"/>
          <w:b/>
          <w:bCs/>
          <w:color w:val="222222"/>
          <w:kern w:val="0"/>
          <w:sz w:val="28"/>
          <w:szCs w:val="28"/>
          <w:u w:val="single"/>
          <w:lang w:eastAsia="en-GB"/>
          <w14:ligatures w14:val="none"/>
        </w:rPr>
        <w:t xml:space="preserve"> </w:t>
      </w:r>
      <w:r w:rsidR="009773EB" w:rsidRPr="00AB3234">
        <w:rPr>
          <w:rFonts w:eastAsia="Times New Roman" w:cstheme="minorHAnsi"/>
          <w:b/>
          <w:bCs/>
          <w:color w:val="222222"/>
          <w:kern w:val="0"/>
          <w:sz w:val="28"/>
          <w:szCs w:val="28"/>
          <w:u w:val="single"/>
          <w:lang w:eastAsia="en-GB"/>
          <w14:ligatures w14:val="none"/>
        </w:rPr>
        <w:t>Pre-consultation engagement</w:t>
      </w:r>
    </w:p>
    <w:p w14:paraId="610D47B2" w14:textId="28D31CFF" w:rsidR="008D35D1" w:rsidRPr="00AB3234" w:rsidRDefault="008D35D1" w:rsidP="00AB323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 new</w:t>
      </w:r>
      <w:r w:rsidR="00F81000"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Fuel Poverty Strategy </w:t>
      </w: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is being developed to provide an all-of-government</w:t>
      </w:r>
      <w:r w:rsidR="00F81000"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framework for addressing fuel poverty </w:t>
      </w: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</w:t>
      </w:r>
      <w:r w:rsidR="00F81000"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nd its impacts</w:t>
      </w: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in Northern Ireland</w:t>
      </w:r>
      <w:r w:rsidR="00F81000"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 This reflects commitments </w:t>
      </w:r>
      <w:r w:rsidR="00646CF5"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in</w:t>
      </w:r>
      <w:r w:rsidR="00F81000"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the </w:t>
      </w:r>
      <w:hyperlink r:id="rId10" w:history="1">
        <w:r w:rsidR="00F81000" w:rsidRPr="00AB3234">
          <w:rPr>
            <w:rFonts w:eastAsia="Times New Roman" w:cstheme="minorHAnsi"/>
            <w:color w:val="287EA5"/>
            <w:kern w:val="0"/>
            <w:sz w:val="24"/>
            <w:szCs w:val="24"/>
            <w:u w:val="single"/>
            <w:lang w:eastAsia="en-GB"/>
            <w14:ligatures w14:val="none"/>
          </w:rPr>
          <w:t>draft Housing Supply Strategy</w:t>
        </w:r>
      </w:hyperlink>
      <w:r w:rsidR="00F81000" w:rsidRPr="00AB3234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 as well as </w:t>
      </w:r>
      <w:r w:rsidRPr="00AB3234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the Executive’s </w:t>
      </w:r>
      <w:hyperlink r:id="rId11" w:history="1">
        <w:r w:rsidRPr="00AB3234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Energy Strategy for Northern Ireland</w:t>
        </w:r>
      </w:hyperlink>
      <w:r w:rsidRPr="00AB3234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. </w:t>
      </w: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 new Strategy will recognise our responsibilities under the </w:t>
      </w:r>
      <w:hyperlink r:id="rId12" w:history="1">
        <w:r w:rsidRPr="00AB3234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Climate Change Act (NI) 2022</w:t>
        </w:r>
      </w:hyperlink>
      <w:r w:rsidRPr="00AB3234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and focus on ensuring a Just Transition for the residential sector. Simultaneously the Department of Communities is developing a successor to the Affordable Warmth </w:t>
      </w:r>
      <w:r w:rsidR="002D6F2D"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</w:t>
      </w: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cheme to ensure that home energy support is available for low-income households for the future. </w:t>
      </w:r>
      <w:r w:rsidR="005E182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8A743DA" w14:textId="2ECE1A26" w:rsidR="00552C1A" w:rsidRPr="002B13DB" w:rsidRDefault="008D35D1" w:rsidP="00AB3234">
      <w:pPr>
        <w:shd w:val="clear" w:color="auto" w:fill="FFFFFF"/>
        <w:tabs>
          <w:tab w:val="right" w:pos="9026"/>
        </w:tabs>
        <w:spacing w:before="100" w:beforeAutospacing="1" w:after="100" w:afterAutospacing="1" w:line="276" w:lineRule="auto"/>
        <w:rPr>
          <w:rFonts w:cstheme="minorHAnsi"/>
          <w:sz w:val="24"/>
          <w:szCs w:val="24"/>
          <w:shd w:val="clear" w:color="auto" w:fill="FFFFFF"/>
        </w:rPr>
      </w:pPr>
      <w:r w:rsidRPr="002B13DB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We are now beginning a </w:t>
      </w:r>
      <w:r w:rsidRPr="002B13DB">
        <w:rPr>
          <w:rFonts w:cstheme="minorHAnsi"/>
          <w:sz w:val="24"/>
          <w:szCs w:val="24"/>
          <w:shd w:val="clear" w:color="auto" w:fill="FFFFFF"/>
        </w:rPr>
        <w:t xml:space="preserve">period of intensive stakeholder engagement </w:t>
      </w:r>
      <w:r w:rsidR="002D6F2D" w:rsidRPr="002B13DB">
        <w:rPr>
          <w:rFonts w:cstheme="minorHAnsi"/>
          <w:sz w:val="24"/>
          <w:szCs w:val="24"/>
          <w:shd w:val="clear" w:color="auto" w:fill="FFFFFF"/>
        </w:rPr>
        <w:t xml:space="preserve">to inform both the Strategy and the Scheme given the clear cross-over between the two. This will take the form of workshops and focus groups across Northern Ireland between </w:t>
      </w:r>
      <w:r w:rsidR="002D6C29" w:rsidRPr="002B13DB">
        <w:rPr>
          <w:rFonts w:cstheme="minorHAnsi"/>
          <w:sz w:val="24"/>
          <w:szCs w:val="24"/>
          <w:shd w:val="clear" w:color="auto" w:fill="FFFFFF"/>
        </w:rPr>
        <w:t xml:space="preserve">March </w:t>
      </w:r>
      <w:r w:rsidR="002D6F2D" w:rsidRPr="002B13DB">
        <w:rPr>
          <w:rFonts w:cstheme="minorHAnsi"/>
          <w:sz w:val="24"/>
          <w:szCs w:val="24"/>
          <w:shd w:val="clear" w:color="auto" w:fill="FFFFFF"/>
        </w:rPr>
        <w:t>and June 2024</w:t>
      </w:r>
      <w:r w:rsidR="009B37FF">
        <w:rPr>
          <w:rFonts w:cstheme="minorHAnsi"/>
          <w:sz w:val="24"/>
          <w:szCs w:val="24"/>
          <w:shd w:val="clear" w:color="auto" w:fill="FFFFFF"/>
        </w:rPr>
        <w:t xml:space="preserve"> and we would like to invite you to take part.</w:t>
      </w:r>
    </w:p>
    <w:p w14:paraId="7D8E79FD" w14:textId="77777777" w:rsidR="00AB3234" w:rsidRPr="002B13DB" w:rsidRDefault="002C5E71" w:rsidP="00AB3234">
      <w:pPr>
        <w:shd w:val="clear" w:color="auto" w:fill="FFFFFF"/>
        <w:tabs>
          <w:tab w:val="right" w:pos="9026"/>
        </w:tabs>
        <w:spacing w:before="100" w:beforeAutospacing="1" w:after="100" w:afterAutospacing="1" w:line="276" w:lineRule="auto"/>
        <w:rPr>
          <w:rFonts w:cstheme="minorHAnsi"/>
          <w:sz w:val="24"/>
          <w:szCs w:val="24"/>
          <w:shd w:val="clear" w:color="auto" w:fill="FFFFFF"/>
        </w:rPr>
      </w:pPr>
      <w:r w:rsidRPr="002B13DB">
        <w:rPr>
          <w:rFonts w:cstheme="minorHAnsi"/>
          <w:sz w:val="24"/>
          <w:szCs w:val="24"/>
          <w:shd w:val="clear" w:color="auto" w:fill="FFFFFF"/>
        </w:rPr>
        <w:t xml:space="preserve">The events will be roundtable discussions </w:t>
      </w:r>
      <w:r w:rsidR="002930B5" w:rsidRPr="002B13DB">
        <w:rPr>
          <w:rFonts w:cstheme="minorHAnsi"/>
          <w:sz w:val="24"/>
          <w:szCs w:val="24"/>
          <w:shd w:val="clear" w:color="auto" w:fill="FFFFFF"/>
        </w:rPr>
        <w:t>offering everyone a chance to have their say.  Each series of workshops will have a</w:t>
      </w:r>
      <w:r w:rsidR="00552C1A" w:rsidRPr="002B13DB">
        <w:rPr>
          <w:rFonts w:cstheme="minorHAnsi"/>
          <w:sz w:val="24"/>
          <w:szCs w:val="24"/>
          <w:shd w:val="clear" w:color="auto" w:fill="FFFFFF"/>
        </w:rPr>
        <w:t>t least one</w:t>
      </w:r>
      <w:r w:rsidR="002930B5" w:rsidRPr="002B13D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D6F2D" w:rsidRPr="002B13DB">
        <w:rPr>
          <w:rFonts w:cstheme="minorHAnsi"/>
          <w:sz w:val="24"/>
          <w:szCs w:val="24"/>
          <w:shd w:val="clear" w:color="auto" w:fill="FFFFFF"/>
        </w:rPr>
        <w:t xml:space="preserve">online event for those unable to attend in person. </w:t>
      </w:r>
      <w:r w:rsidR="006D4CA9" w:rsidRPr="002B13DB">
        <w:rPr>
          <w:rFonts w:cstheme="minorHAnsi"/>
          <w:sz w:val="24"/>
          <w:szCs w:val="24"/>
          <w:shd w:val="clear" w:color="auto" w:fill="FFFFFF"/>
        </w:rPr>
        <w:t xml:space="preserve">Where an event is repeated </w:t>
      </w:r>
      <w:r w:rsidR="00653275" w:rsidRPr="002B13DB">
        <w:rPr>
          <w:rFonts w:cstheme="minorHAnsi"/>
          <w:sz w:val="24"/>
          <w:szCs w:val="24"/>
          <w:shd w:val="clear" w:color="auto" w:fill="FFFFFF"/>
        </w:rPr>
        <w:t>it is not necessary to attend more than one.</w:t>
      </w:r>
      <w:r w:rsidR="00752789" w:rsidRPr="002B13DB">
        <w:rPr>
          <w:rFonts w:cstheme="minorHAnsi"/>
          <w:sz w:val="24"/>
          <w:szCs w:val="24"/>
          <w:shd w:val="clear" w:color="auto" w:fill="FFFFFF"/>
        </w:rPr>
        <w:t xml:space="preserve"> We may also schedule some additional online events over the summer, if necessary.</w:t>
      </w:r>
      <w:r w:rsidR="00720114" w:rsidRPr="002B13DB">
        <w:rPr>
          <w:rFonts w:cstheme="minorHAnsi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830"/>
        <w:gridCol w:w="10773"/>
      </w:tblGrid>
      <w:tr w:rsidR="00766D75" w:rsidRPr="002B13DB" w14:paraId="40B7D88C" w14:textId="77777777" w:rsidTr="00766D75">
        <w:tc>
          <w:tcPr>
            <w:tcW w:w="2830" w:type="dxa"/>
          </w:tcPr>
          <w:p w14:paraId="073CC1C7" w14:textId="1C85B329" w:rsidR="00766D75" w:rsidRPr="002B13DB" w:rsidRDefault="00766D75" w:rsidP="002B13DB">
            <w:pPr>
              <w:tabs>
                <w:tab w:val="right" w:pos="9026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2B13D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Topic</w:t>
            </w:r>
          </w:p>
        </w:tc>
        <w:tc>
          <w:tcPr>
            <w:tcW w:w="10773" w:type="dxa"/>
          </w:tcPr>
          <w:p w14:paraId="40E2992E" w14:textId="53817CF5" w:rsidR="00766D75" w:rsidRPr="002B13DB" w:rsidRDefault="00766D75" w:rsidP="002B13DB">
            <w:pPr>
              <w:tabs>
                <w:tab w:val="right" w:pos="9026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2B13D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Content</w:t>
            </w:r>
          </w:p>
        </w:tc>
      </w:tr>
      <w:tr w:rsidR="00766D75" w:rsidRPr="002B13DB" w14:paraId="282DE9B7" w14:textId="77777777" w:rsidTr="00766D75">
        <w:trPr>
          <w:trHeight w:val="1317"/>
        </w:trPr>
        <w:tc>
          <w:tcPr>
            <w:tcW w:w="2830" w:type="dxa"/>
          </w:tcPr>
          <w:p w14:paraId="67FB377E" w14:textId="2823FEE2" w:rsidR="00766D75" w:rsidRPr="002B13DB" w:rsidRDefault="00766D75" w:rsidP="002B13DB">
            <w:pPr>
              <w:shd w:val="clear" w:color="auto" w:fill="FFFFFF"/>
              <w:tabs>
                <w:tab w:val="right" w:pos="9026"/>
              </w:tabs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13D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Eligibility</w:t>
            </w:r>
            <w:r w:rsidRPr="002B13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How to determine who should receive support  </w:t>
            </w:r>
          </w:p>
        </w:tc>
        <w:tc>
          <w:tcPr>
            <w:tcW w:w="10773" w:type="dxa"/>
          </w:tcPr>
          <w:p w14:paraId="4C0E44AC" w14:textId="77777777" w:rsidR="00766D75" w:rsidRPr="002B13DB" w:rsidRDefault="00766D75" w:rsidP="002B13DB">
            <w:pPr>
              <w:pStyle w:val="ListParagraph"/>
              <w:numPr>
                <w:ilvl w:val="0"/>
                <w:numId w:val="12"/>
              </w:numPr>
              <w:tabs>
                <w:tab w:val="right" w:pos="9026"/>
              </w:tabs>
              <w:spacing w:line="276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B13D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Who should be eligible for home energy support schemes in future? How do we prioritise government support?</w:t>
            </w:r>
          </w:p>
          <w:p w14:paraId="06A63241" w14:textId="77777777" w:rsidR="00766D75" w:rsidRPr="002B13DB" w:rsidRDefault="00766D75" w:rsidP="002B13DB">
            <w:pPr>
              <w:pStyle w:val="ListParagraph"/>
              <w:numPr>
                <w:ilvl w:val="0"/>
                <w:numId w:val="12"/>
              </w:numPr>
              <w:tabs>
                <w:tab w:val="right" w:pos="9026"/>
              </w:tabs>
              <w:spacing w:line="276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B13D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What principles could be used to determine eligibility for future home energy interventions?</w:t>
            </w:r>
          </w:p>
          <w:p w14:paraId="2B8CC54D" w14:textId="110F2A69" w:rsidR="00766D75" w:rsidRPr="002B13DB" w:rsidRDefault="00766D75" w:rsidP="002B13DB">
            <w:pPr>
              <w:pStyle w:val="ListParagraph"/>
              <w:numPr>
                <w:ilvl w:val="0"/>
                <w:numId w:val="12"/>
              </w:numPr>
              <w:tabs>
                <w:tab w:val="right" w:pos="9026"/>
              </w:tabs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B13D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How can we apply these principles to develop eligibility criteria for a new Affordable Warmth Scheme?</w:t>
            </w:r>
          </w:p>
        </w:tc>
      </w:tr>
      <w:tr w:rsidR="00766D75" w:rsidRPr="002B13DB" w14:paraId="410937DF" w14:textId="77777777" w:rsidTr="00766D75">
        <w:tc>
          <w:tcPr>
            <w:tcW w:w="2830" w:type="dxa"/>
          </w:tcPr>
          <w:p w14:paraId="4517DCF5" w14:textId="77777777" w:rsidR="00766D75" w:rsidRPr="002B13DB" w:rsidRDefault="00766D75" w:rsidP="002B13DB">
            <w:pPr>
              <w:tabs>
                <w:tab w:val="right" w:pos="9026"/>
              </w:tabs>
              <w:spacing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B13DB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Collaboration</w:t>
            </w:r>
            <w:r w:rsidRPr="002B13DB">
              <w:rPr>
                <w:rFonts w:cstheme="minorHAnsi"/>
                <w:kern w:val="0"/>
                <w:sz w:val="24"/>
                <w:szCs w:val="24"/>
                <w14:ligatures w14:val="none"/>
              </w:rPr>
              <w:t>: Identifying partners and their roles</w:t>
            </w:r>
          </w:p>
        </w:tc>
        <w:tc>
          <w:tcPr>
            <w:tcW w:w="10773" w:type="dxa"/>
          </w:tcPr>
          <w:p w14:paraId="3F847533" w14:textId="77777777" w:rsidR="00766D75" w:rsidRPr="002B13DB" w:rsidRDefault="00766D75" w:rsidP="002B13D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B13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If home energy interventions are not an option, how do we target and deliver short-term support?</w:t>
            </w:r>
          </w:p>
          <w:p w14:paraId="57910955" w14:textId="77777777" w:rsidR="00766D75" w:rsidRPr="002B13DB" w:rsidRDefault="00766D75" w:rsidP="002B13D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B13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For people who need emergency assistance, how can we work in partnership to ensure they access long term solutions? Who are relevant partners and what are their roles?</w:t>
            </w:r>
          </w:p>
          <w:p w14:paraId="721FD99E" w14:textId="77777777" w:rsidR="00766D75" w:rsidRPr="002B13DB" w:rsidRDefault="00766D75" w:rsidP="002B13D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2B13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How can this referral network / partnership approach support a new Affordable Warmth Scheme?</w:t>
            </w:r>
          </w:p>
        </w:tc>
      </w:tr>
      <w:tr w:rsidR="00766D75" w:rsidRPr="002B13DB" w14:paraId="1433A00C" w14:textId="77777777" w:rsidTr="00766D75">
        <w:tc>
          <w:tcPr>
            <w:tcW w:w="2830" w:type="dxa"/>
          </w:tcPr>
          <w:p w14:paraId="19B13FDA" w14:textId="77777777" w:rsidR="00766D75" w:rsidRPr="002B13DB" w:rsidRDefault="00766D75" w:rsidP="002B1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13D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Understanding and framing</w:t>
            </w:r>
            <w:r w:rsidRPr="002B13DB">
              <w:rPr>
                <w:rFonts w:cstheme="minorHAnsi"/>
                <w:sz w:val="24"/>
                <w:szCs w:val="24"/>
              </w:rPr>
              <w:t xml:space="preserve">:  Improving our definition and developing a vision and principles </w:t>
            </w:r>
          </w:p>
        </w:tc>
        <w:tc>
          <w:tcPr>
            <w:tcW w:w="10773" w:type="dxa"/>
          </w:tcPr>
          <w:p w14:paraId="3F13E12D" w14:textId="77777777" w:rsidR="00766D75" w:rsidRDefault="00766D75" w:rsidP="002B13D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eastAsia="Symbol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B13DB">
              <w:rPr>
                <w:rFonts w:ascii="Calibri" w:eastAsia="Symbol" w:hAnsi="Calibri" w:cs="Symbo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What does a Just Transition mean for fuel poverty?</w:t>
            </w:r>
            <w:r w:rsidRPr="002B13DB">
              <w:rPr>
                <w:rFonts w:ascii="Calibri" w:eastAsia="Symbol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C3C3736" w14:textId="77777777" w:rsidR="00766D75" w:rsidRDefault="00766D75" w:rsidP="002B13D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B13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What should a vision and Principles for a Fuel Poverty Strategy be?  </w:t>
            </w:r>
          </w:p>
          <w:p w14:paraId="7F2EB049" w14:textId="4D1ECE43" w:rsidR="00766D75" w:rsidRPr="002B13DB" w:rsidRDefault="00766D75" w:rsidP="002B13D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B13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What data and indicators could be used to support our work?</w:t>
            </w:r>
          </w:p>
        </w:tc>
      </w:tr>
      <w:tr w:rsidR="00766D75" w:rsidRPr="002B13DB" w14:paraId="3F1F26A6" w14:textId="77777777" w:rsidTr="00766D75">
        <w:tc>
          <w:tcPr>
            <w:tcW w:w="2830" w:type="dxa"/>
          </w:tcPr>
          <w:p w14:paraId="6BBEFB48" w14:textId="4E9CFEA4" w:rsidR="00766D75" w:rsidRPr="002B13DB" w:rsidRDefault="00766D75" w:rsidP="002B13D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13DB">
              <w:rPr>
                <w:b/>
                <w:bCs/>
                <w:sz w:val="24"/>
                <w:szCs w:val="24"/>
                <w14:ligatures w14:val="none"/>
              </w:rPr>
              <w:t>Feedback</w:t>
            </w:r>
            <w:r>
              <w:rPr>
                <w:b/>
                <w:bCs/>
                <w:sz w:val="24"/>
                <w:szCs w:val="24"/>
                <w14:ligatures w14:val="none"/>
              </w:rPr>
              <w:t xml:space="preserve"> session </w:t>
            </w:r>
          </w:p>
        </w:tc>
        <w:tc>
          <w:tcPr>
            <w:tcW w:w="10773" w:type="dxa"/>
          </w:tcPr>
          <w:p w14:paraId="2C338A0F" w14:textId="77777777" w:rsidR="00766D75" w:rsidRPr="00AB1DF8" w:rsidRDefault="00766D75" w:rsidP="002B13D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eastAsia="Symbol" w:hAnsi="Calibri" w:cs="Symbo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sz w:val="24"/>
                <w:szCs w:val="24"/>
              </w:rPr>
              <w:t>An overview of the input from workshops</w:t>
            </w:r>
          </w:p>
          <w:p w14:paraId="18BAE295" w14:textId="439FC7FD" w:rsidR="00766D75" w:rsidRPr="002B13DB" w:rsidRDefault="00766D75" w:rsidP="002B13D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eastAsia="Symbol" w:hAnsi="Calibri" w:cs="Symbo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sz w:val="24"/>
                <w:szCs w:val="24"/>
              </w:rPr>
              <w:t>Proposed next steps and feedback on new or emerging issues</w:t>
            </w:r>
          </w:p>
        </w:tc>
      </w:tr>
    </w:tbl>
    <w:p w14:paraId="44D50605" w14:textId="77777777" w:rsidR="00AB3234" w:rsidRDefault="00AB3234" w:rsidP="00AB3234">
      <w:pPr>
        <w:spacing w:line="276" w:lineRule="auto"/>
        <w:rPr>
          <w:b/>
          <w:bCs/>
          <w:sz w:val="24"/>
          <w:szCs w:val="24"/>
        </w:rPr>
      </w:pPr>
    </w:p>
    <w:p w14:paraId="0816FBD3" w14:textId="77777777" w:rsidR="002B13DB" w:rsidRPr="00AB3234" w:rsidRDefault="002B13DB" w:rsidP="00AB3234">
      <w:pPr>
        <w:spacing w:line="276" w:lineRule="auto"/>
        <w:rPr>
          <w:b/>
          <w:bCs/>
          <w:sz w:val="24"/>
          <w:szCs w:val="24"/>
        </w:rPr>
      </w:pPr>
    </w:p>
    <w:p w14:paraId="59DEA9D4" w14:textId="6BAC1CAD" w:rsidR="00552C1A" w:rsidRPr="00AB3234" w:rsidRDefault="00552C1A" w:rsidP="00AB3234">
      <w:pPr>
        <w:spacing w:line="276" w:lineRule="auto"/>
        <w:rPr>
          <w:b/>
          <w:bCs/>
          <w:sz w:val="28"/>
          <w:szCs w:val="28"/>
        </w:rPr>
      </w:pPr>
      <w:r w:rsidRPr="00AB3234">
        <w:rPr>
          <w:b/>
          <w:bCs/>
          <w:sz w:val="28"/>
          <w:szCs w:val="28"/>
        </w:rPr>
        <w:t>How to register</w:t>
      </w:r>
    </w:p>
    <w:p w14:paraId="3A38E17E" w14:textId="22E86A23" w:rsidR="00552C1A" w:rsidRPr="00AB3234" w:rsidRDefault="00552C1A" w:rsidP="00AB3234">
      <w:pPr>
        <w:pStyle w:val="ListParagraph"/>
        <w:numPr>
          <w:ilvl w:val="0"/>
          <w:numId w:val="15"/>
        </w:numPr>
        <w:spacing w:line="276" w:lineRule="auto"/>
        <w:rPr>
          <w:color w:val="FF0000"/>
          <w:sz w:val="24"/>
          <w:szCs w:val="24"/>
        </w:rPr>
      </w:pPr>
      <w:r w:rsidRPr="00AB3234">
        <w:rPr>
          <w:sz w:val="24"/>
          <w:szCs w:val="24"/>
        </w:rPr>
        <w:t>Details of all events and registration links</w:t>
      </w:r>
      <w:r w:rsidR="00AB3234">
        <w:rPr>
          <w:sz w:val="24"/>
          <w:szCs w:val="24"/>
        </w:rPr>
        <w:t xml:space="preserve"> for these workshops</w:t>
      </w:r>
      <w:r w:rsidRPr="00AB3234">
        <w:rPr>
          <w:sz w:val="24"/>
          <w:szCs w:val="24"/>
        </w:rPr>
        <w:t xml:space="preserve"> can be found on the Department for Communities website: </w:t>
      </w:r>
      <w:hyperlink r:id="rId13" w:anchor="toc-6" w:history="1">
        <w:r w:rsidR="00164415">
          <w:rPr>
            <w:rStyle w:val="Hyperlink"/>
          </w:rPr>
          <w:t>Fuel Poverty and the Just Transition | Department for Communities (communities-</w:t>
        </w:r>
        <w:r w:rsidR="00164415">
          <w:rPr>
            <w:rStyle w:val="Hyperlink"/>
          </w:rPr>
          <w:t>n</w:t>
        </w:r>
        <w:r w:rsidR="00164415">
          <w:rPr>
            <w:rStyle w:val="Hyperlink"/>
          </w:rPr>
          <w:t>i</w:t>
        </w:r>
        <w:r w:rsidR="00164415">
          <w:rPr>
            <w:rStyle w:val="Hyperlink"/>
          </w:rPr>
          <w:t>.gov.uk)</w:t>
        </w:r>
      </w:hyperlink>
    </w:p>
    <w:p w14:paraId="77A0809B" w14:textId="09E219A4" w:rsidR="00552C1A" w:rsidRDefault="00552C1A" w:rsidP="00AB3234">
      <w:pPr>
        <w:pStyle w:val="ListParagraph"/>
        <w:numPr>
          <w:ilvl w:val="0"/>
          <w:numId w:val="15"/>
        </w:numPr>
        <w:spacing w:line="276" w:lineRule="auto"/>
        <w:rPr>
          <w:color w:val="FF0000"/>
          <w:sz w:val="24"/>
          <w:szCs w:val="24"/>
        </w:rPr>
      </w:pPr>
      <w:r w:rsidRPr="00AB3234">
        <w:rPr>
          <w:sz w:val="24"/>
          <w:szCs w:val="24"/>
        </w:rPr>
        <w:t xml:space="preserve">For further information on any of the events please contact: </w:t>
      </w:r>
      <w:r w:rsidR="00766D75" w:rsidRPr="00766D75">
        <w:rPr>
          <w:sz w:val="24"/>
          <w:szCs w:val="24"/>
        </w:rPr>
        <w:t>fuelpovertystrategy@communities-ni.gov.uk</w:t>
      </w:r>
    </w:p>
    <w:p w14:paraId="6E956FFB" w14:textId="77777777" w:rsidR="00AB3234" w:rsidRDefault="00AB3234" w:rsidP="00AB3234">
      <w:pPr>
        <w:pStyle w:val="ListParagraph"/>
        <w:spacing w:line="276" w:lineRule="auto"/>
        <w:rPr>
          <w:color w:val="FF0000"/>
          <w:sz w:val="24"/>
          <w:szCs w:val="24"/>
        </w:rPr>
      </w:pPr>
    </w:p>
    <w:sectPr w:rsidR="00AB3234" w:rsidSect="002D6C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E40A" w14:textId="77777777" w:rsidR="004C42CB" w:rsidRDefault="004C42CB" w:rsidP="008D35D1">
      <w:pPr>
        <w:spacing w:after="0" w:line="240" w:lineRule="auto"/>
      </w:pPr>
      <w:r>
        <w:separator/>
      </w:r>
    </w:p>
  </w:endnote>
  <w:endnote w:type="continuationSeparator" w:id="0">
    <w:p w14:paraId="5DF7F8B6" w14:textId="77777777" w:rsidR="004C42CB" w:rsidRDefault="004C42CB" w:rsidP="008D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B3FD" w14:textId="77777777" w:rsidR="004C42CB" w:rsidRDefault="004C42CB" w:rsidP="008D35D1">
      <w:pPr>
        <w:spacing w:after="0" w:line="240" w:lineRule="auto"/>
      </w:pPr>
      <w:r>
        <w:separator/>
      </w:r>
    </w:p>
  </w:footnote>
  <w:footnote w:type="continuationSeparator" w:id="0">
    <w:p w14:paraId="2178AA91" w14:textId="77777777" w:rsidR="004C42CB" w:rsidRDefault="004C42CB" w:rsidP="008D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429"/>
    <w:multiLevelType w:val="hybridMultilevel"/>
    <w:tmpl w:val="46EE6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5AD2"/>
    <w:multiLevelType w:val="hybridMultilevel"/>
    <w:tmpl w:val="CE620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B507F"/>
    <w:multiLevelType w:val="hybridMultilevel"/>
    <w:tmpl w:val="DDE06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05ACF"/>
    <w:multiLevelType w:val="hybridMultilevel"/>
    <w:tmpl w:val="65F28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0536F"/>
    <w:multiLevelType w:val="hybridMultilevel"/>
    <w:tmpl w:val="9286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71A2"/>
    <w:multiLevelType w:val="hybridMultilevel"/>
    <w:tmpl w:val="5024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D38A5"/>
    <w:multiLevelType w:val="hybridMultilevel"/>
    <w:tmpl w:val="7C0C7B26"/>
    <w:lvl w:ilvl="0" w:tplc="B8A2C3D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95058"/>
    <w:multiLevelType w:val="hybridMultilevel"/>
    <w:tmpl w:val="E6888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90453"/>
    <w:multiLevelType w:val="hybridMultilevel"/>
    <w:tmpl w:val="39B68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259E2"/>
    <w:multiLevelType w:val="hybridMultilevel"/>
    <w:tmpl w:val="D3C4C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61420"/>
    <w:multiLevelType w:val="hybridMultilevel"/>
    <w:tmpl w:val="6E4E3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577BC2"/>
    <w:multiLevelType w:val="hybridMultilevel"/>
    <w:tmpl w:val="1572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40D3"/>
    <w:multiLevelType w:val="hybridMultilevel"/>
    <w:tmpl w:val="4A921D04"/>
    <w:lvl w:ilvl="0" w:tplc="D9A2D2D8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06CF7"/>
    <w:multiLevelType w:val="hybridMultilevel"/>
    <w:tmpl w:val="1700B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91CA3"/>
    <w:multiLevelType w:val="hybridMultilevel"/>
    <w:tmpl w:val="BD0AB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451751">
    <w:abstractNumId w:val="6"/>
  </w:num>
  <w:num w:numId="2" w16cid:durableId="98718634">
    <w:abstractNumId w:val="12"/>
  </w:num>
  <w:num w:numId="3" w16cid:durableId="1116603159">
    <w:abstractNumId w:val="6"/>
  </w:num>
  <w:num w:numId="4" w16cid:durableId="617223723">
    <w:abstractNumId w:val="3"/>
  </w:num>
  <w:num w:numId="5" w16cid:durableId="124278799">
    <w:abstractNumId w:val="14"/>
  </w:num>
  <w:num w:numId="6" w16cid:durableId="511532761">
    <w:abstractNumId w:val="13"/>
  </w:num>
  <w:num w:numId="7" w16cid:durableId="1683238137">
    <w:abstractNumId w:val="0"/>
  </w:num>
  <w:num w:numId="8" w16cid:durableId="65954976">
    <w:abstractNumId w:val="7"/>
  </w:num>
  <w:num w:numId="9" w16cid:durableId="544877708">
    <w:abstractNumId w:val="5"/>
  </w:num>
  <w:num w:numId="10" w16cid:durableId="1366711633">
    <w:abstractNumId w:val="10"/>
  </w:num>
  <w:num w:numId="11" w16cid:durableId="894121927">
    <w:abstractNumId w:val="2"/>
  </w:num>
  <w:num w:numId="12" w16cid:durableId="1903172129">
    <w:abstractNumId w:val="8"/>
  </w:num>
  <w:num w:numId="13" w16cid:durableId="271668487">
    <w:abstractNumId w:val="9"/>
  </w:num>
  <w:num w:numId="14" w16cid:durableId="17246187">
    <w:abstractNumId w:val="4"/>
  </w:num>
  <w:num w:numId="15" w16cid:durableId="389886897">
    <w:abstractNumId w:val="11"/>
  </w:num>
  <w:num w:numId="16" w16cid:durableId="207581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0"/>
    <w:rsid w:val="00021585"/>
    <w:rsid w:val="0004570A"/>
    <w:rsid w:val="000A765A"/>
    <w:rsid w:val="000F5DC8"/>
    <w:rsid w:val="00121B8C"/>
    <w:rsid w:val="00164415"/>
    <w:rsid w:val="0018624A"/>
    <w:rsid w:val="001F0478"/>
    <w:rsid w:val="002101C1"/>
    <w:rsid w:val="00216535"/>
    <w:rsid w:val="002448BA"/>
    <w:rsid w:val="00270DB5"/>
    <w:rsid w:val="002930B5"/>
    <w:rsid w:val="002B0337"/>
    <w:rsid w:val="002B13DB"/>
    <w:rsid w:val="002C1717"/>
    <w:rsid w:val="002C5E71"/>
    <w:rsid w:val="002D69AA"/>
    <w:rsid w:val="002D6C29"/>
    <w:rsid w:val="002D6F2D"/>
    <w:rsid w:val="0030569B"/>
    <w:rsid w:val="00311E34"/>
    <w:rsid w:val="003445A3"/>
    <w:rsid w:val="003539DE"/>
    <w:rsid w:val="00356C6F"/>
    <w:rsid w:val="00366C5A"/>
    <w:rsid w:val="003A012E"/>
    <w:rsid w:val="003A565B"/>
    <w:rsid w:val="00400C44"/>
    <w:rsid w:val="004023F6"/>
    <w:rsid w:val="00417CF5"/>
    <w:rsid w:val="00426639"/>
    <w:rsid w:val="004344F2"/>
    <w:rsid w:val="0045163D"/>
    <w:rsid w:val="00461C76"/>
    <w:rsid w:val="004C42CB"/>
    <w:rsid w:val="004C43CA"/>
    <w:rsid w:val="004D5078"/>
    <w:rsid w:val="00552C1A"/>
    <w:rsid w:val="00564F0C"/>
    <w:rsid w:val="00576E9A"/>
    <w:rsid w:val="005774C4"/>
    <w:rsid w:val="00590DE5"/>
    <w:rsid w:val="00591630"/>
    <w:rsid w:val="005E182D"/>
    <w:rsid w:val="00615CC1"/>
    <w:rsid w:val="00646CF5"/>
    <w:rsid w:val="00653275"/>
    <w:rsid w:val="00662705"/>
    <w:rsid w:val="0067400A"/>
    <w:rsid w:val="00686949"/>
    <w:rsid w:val="006D4CA9"/>
    <w:rsid w:val="00720114"/>
    <w:rsid w:val="00752789"/>
    <w:rsid w:val="0075370C"/>
    <w:rsid w:val="00766D75"/>
    <w:rsid w:val="00773BCD"/>
    <w:rsid w:val="0078774C"/>
    <w:rsid w:val="007F7AAF"/>
    <w:rsid w:val="0082689B"/>
    <w:rsid w:val="008439B7"/>
    <w:rsid w:val="00882BC1"/>
    <w:rsid w:val="008835F0"/>
    <w:rsid w:val="008867F7"/>
    <w:rsid w:val="008B5360"/>
    <w:rsid w:val="008D35D1"/>
    <w:rsid w:val="008D63B8"/>
    <w:rsid w:val="008F7E1F"/>
    <w:rsid w:val="009773EB"/>
    <w:rsid w:val="00987DE6"/>
    <w:rsid w:val="009B37FF"/>
    <w:rsid w:val="009B520B"/>
    <w:rsid w:val="00A25339"/>
    <w:rsid w:val="00A33EBC"/>
    <w:rsid w:val="00A83F56"/>
    <w:rsid w:val="00A84897"/>
    <w:rsid w:val="00A97594"/>
    <w:rsid w:val="00AB1DF8"/>
    <w:rsid w:val="00AB3234"/>
    <w:rsid w:val="00AB69F7"/>
    <w:rsid w:val="00AC39EC"/>
    <w:rsid w:val="00AE23D6"/>
    <w:rsid w:val="00B01946"/>
    <w:rsid w:val="00B11895"/>
    <w:rsid w:val="00B15223"/>
    <w:rsid w:val="00B54DE9"/>
    <w:rsid w:val="00B84B6D"/>
    <w:rsid w:val="00BA52B5"/>
    <w:rsid w:val="00BB5B9F"/>
    <w:rsid w:val="00BE713D"/>
    <w:rsid w:val="00BE7361"/>
    <w:rsid w:val="00C56279"/>
    <w:rsid w:val="00C67FD4"/>
    <w:rsid w:val="00C95BD9"/>
    <w:rsid w:val="00CC69E4"/>
    <w:rsid w:val="00CD6D9A"/>
    <w:rsid w:val="00CE11C6"/>
    <w:rsid w:val="00D5540E"/>
    <w:rsid w:val="00D7654F"/>
    <w:rsid w:val="00DA1910"/>
    <w:rsid w:val="00DC3C3C"/>
    <w:rsid w:val="00E26110"/>
    <w:rsid w:val="00E51195"/>
    <w:rsid w:val="00E64683"/>
    <w:rsid w:val="00E64F29"/>
    <w:rsid w:val="00EA48D9"/>
    <w:rsid w:val="00EA6743"/>
    <w:rsid w:val="00EA7028"/>
    <w:rsid w:val="00EB4A02"/>
    <w:rsid w:val="00ED0CB7"/>
    <w:rsid w:val="00ED307F"/>
    <w:rsid w:val="00F53D62"/>
    <w:rsid w:val="00F81000"/>
    <w:rsid w:val="00F93610"/>
    <w:rsid w:val="00FC0859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896A"/>
  <w15:chartTrackingRefBased/>
  <w15:docId w15:val="{99FE7031-CA4E-446D-A937-0B8C92C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00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nodesummary">
    <w:name w:val="nodesummary"/>
    <w:basedOn w:val="Normal"/>
    <w:rsid w:val="00F8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810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lement-invisible">
    <w:name w:val="element-invisible"/>
    <w:basedOn w:val="DefaultParagraphFont"/>
    <w:rsid w:val="00F81000"/>
  </w:style>
  <w:style w:type="character" w:styleId="UnresolvedMention">
    <w:name w:val="Unresolved Mention"/>
    <w:basedOn w:val="DefaultParagraphFont"/>
    <w:uiPriority w:val="99"/>
    <w:semiHidden/>
    <w:unhideWhenUsed/>
    <w:rsid w:val="00F810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D1"/>
  </w:style>
  <w:style w:type="paragraph" w:styleId="Footer">
    <w:name w:val="footer"/>
    <w:basedOn w:val="Normal"/>
    <w:link w:val="FooterChar"/>
    <w:uiPriority w:val="99"/>
    <w:unhideWhenUsed/>
    <w:rsid w:val="008D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D1"/>
  </w:style>
  <w:style w:type="table" w:styleId="TableGrid">
    <w:name w:val="Table Grid"/>
    <w:basedOn w:val="TableNormal"/>
    <w:uiPriority w:val="39"/>
    <w:rsid w:val="002D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F2D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9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4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mmunities-ni.gov.uk/articles/fuel-poverty-and-just-transi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nia/2022/31/contents/enact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onomy-ni.gov.uk/publications/energy-strategy-path-net-zero-energ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mmunities-ni.gov.uk/articles/new-housing-supply-strateg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625A1776BBD40B6CC0823FADB0126" ma:contentTypeVersion="8" ma:contentTypeDescription="Create a new document." ma:contentTypeScope="" ma:versionID="dd9b36630336bb5809c680724a89087d">
  <xsd:schema xmlns:xsd="http://www.w3.org/2001/XMLSchema" xmlns:xs="http://www.w3.org/2001/XMLSchema" xmlns:p="http://schemas.microsoft.com/office/2006/metadata/properties" xmlns:ns3="1edf1b4e-d3ce-41ff-a666-cb8c5dff10dc" xmlns:ns4="28c812af-8749-4890-9e77-3b84df22ed63" targetNamespace="http://schemas.microsoft.com/office/2006/metadata/properties" ma:root="true" ma:fieldsID="843952e43c4475e8f5ba50e74a1a8a9e" ns3:_="" ns4:_="">
    <xsd:import namespace="1edf1b4e-d3ce-41ff-a666-cb8c5dff10dc"/>
    <xsd:import namespace="28c812af-8749-4890-9e77-3b84df22e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1b4e-d3ce-41ff-a666-cb8c5dff1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812af-8749-4890-9e77-3b84df22e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df1b4e-d3ce-41ff-a666-cb8c5dff10dc" xsi:nil="true"/>
  </documentManagement>
</p:properties>
</file>

<file path=customXml/itemProps1.xml><?xml version="1.0" encoding="utf-8"?>
<ds:datastoreItem xmlns:ds="http://schemas.openxmlformats.org/officeDocument/2006/customXml" ds:itemID="{71557B1F-4DC2-4706-A13E-ACC676097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f1b4e-d3ce-41ff-a666-cb8c5dff10dc"/>
    <ds:schemaRef ds:uri="28c812af-8749-4890-9e77-3b84df22e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CDA66-F430-42B1-AFAC-5650685CE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554EC-C9DE-4F2F-9AEC-91EA6CF7BE4B}">
  <ds:schemaRefs>
    <ds:schemaRef ds:uri="http://schemas.microsoft.com/office/2006/metadata/properties"/>
    <ds:schemaRef ds:uri="http://schemas.microsoft.com/office/infopath/2007/PartnerControls"/>
    <ds:schemaRef ds:uri="1edf1b4e-d3ce-41ff-a666-cb8c5dff10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2439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Cormacain, Meabh</dc:creator>
  <cp:keywords/>
  <dc:description/>
  <cp:lastModifiedBy>Clarke, Michael</cp:lastModifiedBy>
  <cp:revision>5</cp:revision>
  <dcterms:created xsi:type="dcterms:W3CDTF">2024-03-20T10:12:00Z</dcterms:created>
  <dcterms:modified xsi:type="dcterms:W3CDTF">2024-03-20T10:31:00Z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0x010100C1C625A1776BBD40B6CC0823FADB0126</vt:lpwstr>
  </property>
</Properties>
</file>